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A7" w:rsidRDefault="004239A7">
      <w:pPr>
        <w:pStyle w:val="BodyText"/>
        <w:rPr>
          <w:sz w:val="20"/>
        </w:rPr>
      </w:pPr>
    </w:p>
    <w:p w:rsidR="004239A7" w:rsidRDefault="004239A7">
      <w:pPr>
        <w:pStyle w:val="BodyText"/>
        <w:rPr>
          <w:sz w:val="20"/>
        </w:rPr>
      </w:pPr>
    </w:p>
    <w:p w:rsidR="004239A7" w:rsidRDefault="004239A7">
      <w:pPr>
        <w:pStyle w:val="BodyText"/>
        <w:rPr>
          <w:sz w:val="20"/>
        </w:rPr>
      </w:pPr>
    </w:p>
    <w:p w:rsidR="004239A7" w:rsidRDefault="004239A7">
      <w:pPr>
        <w:pStyle w:val="BodyText"/>
        <w:rPr>
          <w:sz w:val="20"/>
        </w:rPr>
      </w:pPr>
    </w:p>
    <w:p w:rsidR="004239A7" w:rsidRDefault="004239A7">
      <w:pPr>
        <w:pStyle w:val="BodyText"/>
        <w:rPr>
          <w:sz w:val="20"/>
        </w:rPr>
      </w:pPr>
    </w:p>
    <w:p w:rsidR="004239A7" w:rsidRDefault="004239A7">
      <w:pPr>
        <w:pStyle w:val="BodyText"/>
        <w:rPr>
          <w:sz w:val="20"/>
        </w:rPr>
      </w:pPr>
    </w:p>
    <w:p w:rsidR="004239A7" w:rsidRDefault="004239A7">
      <w:pPr>
        <w:pStyle w:val="BodyText"/>
        <w:rPr>
          <w:sz w:val="20"/>
        </w:rPr>
      </w:pPr>
    </w:p>
    <w:p w:rsidR="004239A7" w:rsidRDefault="004239A7">
      <w:pPr>
        <w:pStyle w:val="BodyText"/>
        <w:rPr>
          <w:sz w:val="20"/>
        </w:rPr>
      </w:pPr>
    </w:p>
    <w:p w:rsidR="004239A7" w:rsidRDefault="004239A7">
      <w:pPr>
        <w:pStyle w:val="BodyText"/>
        <w:rPr>
          <w:sz w:val="20"/>
        </w:rPr>
      </w:pPr>
    </w:p>
    <w:p w:rsidR="004239A7" w:rsidRDefault="004239A7">
      <w:pPr>
        <w:pStyle w:val="BodyText"/>
        <w:rPr>
          <w:sz w:val="20"/>
        </w:rPr>
      </w:pPr>
    </w:p>
    <w:p w:rsidR="004239A7" w:rsidRDefault="004239A7">
      <w:pPr>
        <w:pStyle w:val="BodyText"/>
        <w:rPr>
          <w:sz w:val="20"/>
        </w:rPr>
      </w:pPr>
    </w:p>
    <w:p w:rsidR="004239A7" w:rsidRDefault="004239A7">
      <w:pPr>
        <w:pStyle w:val="BodyText"/>
        <w:spacing w:before="10"/>
        <w:rPr>
          <w:sz w:val="26"/>
        </w:rPr>
      </w:pPr>
    </w:p>
    <w:p w:rsidR="004239A7" w:rsidRDefault="008B715B">
      <w:pPr>
        <w:tabs>
          <w:tab w:val="left" w:pos="4433"/>
          <w:tab w:val="left" w:pos="11907"/>
        </w:tabs>
        <w:spacing w:before="88"/>
        <w:ind w:right="-15"/>
        <w:rPr>
          <w:rFonts w:ascii="Arial"/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-1814781</wp:posOffset>
            </wp:positionV>
            <wp:extent cx="7560564" cy="18484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84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FFFFFF"/>
          <w:sz w:val="36"/>
          <w:shd w:val="clear" w:color="auto" w:fill="000080"/>
        </w:rPr>
        <w:t xml:space="preserve"> </w:t>
      </w:r>
      <w:r>
        <w:rPr>
          <w:rFonts w:ascii="Arial"/>
          <w:b/>
          <w:color w:val="FFFFFF"/>
          <w:sz w:val="36"/>
          <w:shd w:val="clear" w:color="auto" w:fill="000080"/>
        </w:rPr>
        <w:tab/>
        <w:t>PRESS-RELEASE</w:t>
      </w:r>
      <w:r>
        <w:rPr>
          <w:rFonts w:ascii="Arial"/>
          <w:b/>
          <w:color w:val="FFFFFF"/>
          <w:sz w:val="36"/>
          <w:shd w:val="clear" w:color="auto" w:fill="000080"/>
        </w:rPr>
        <w:tab/>
      </w:r>
    </w:p>
    <w:p w:rsidR="004239A7" w:rsidRDefault="004239A7">
      <w:pPr>
        <w:pStyle w:val="BodyText"/>
        <w:spacing w:before="1"/>
        <w:rPr>
          <w:rFonts w:ascii="Arial"/>
          <w:b/>
          <w:sz w:val="29"/>
        </w:rPr>
      </w:pPr>
    </w:p>
    <w:p w:rsidR="004239A7" w:rsidRPr="009E17C9" w:rsidRDefault="009E17C9" w:rsidP="009E16D4">
      <w:pPr>
        <w:spacing w:before="89"/>
        <w:ind w:left="1134"/>
        <w:jc w:val="center"/>
        <w:rPr>
          <w:b/>
          <w:sz w:val="30"/>
          <w:lang w:val="en-US"/>
        </w:rPr>
      </w:pPr>
      <w:r w:rsidRPr="009E17C9">
        <w:rPr>
          <w:b/>
          <w:color w:val="000066"/>
          <w:sz w:val="28"/>
        </w:rPr>
        <w:t xml:space="preserve">Import substitution and cluster development </w:t>
      </w:r>
      <w:r>
        <w:rPr>
          <w:b/>
          <w:color w:val="000066"/>
          <w:sz w:val="28"/>
        </w:rPr>
        <w:t xml:space="preserve">in fruit and vegetable </w:t>
      </w:r>
      <w:r w:rsidR="009E16D4">
        <w:rPr>
          <w:b/>
          <w:color w:val="000066"/>
          <w:sz w:val="28"/>
        </w:rPr>
        <w:t xml:space="preserve">industry </w:t>
      </w:r>
      <w:r w:rsidRPr="009E17C9">
        <w:rPr>
          <w:b/>
          <w:color w:val="000066"/>
          <w:sz w:val="28"/>
        </w:rPr>
        <w:t>for promoting economic growth: from theory to practice</w:t>
      </w:r>
    </w:p>
    <w:p w:rsidR="00911CC2" w:rsidRDefault="00554288" w:rsidP="00EF1305">
      <w:pPr>
        <w:pStyle w:val="BodyText"/>
        <w:tabs>
          <w:tab w:val="left" w:pos="10915"/>
        </w:tabs>
        <w:spacing w:before="100" w:beforeAutospacing="1" w:after="100" w:afterAutospacing="1"/>
        <w:ind w:left="1133"/>
        <w:jc w:val="both"/>
        <w:rPr>
          <w:color w:val="000066"/>
          <w:highlight w:val="yellow"/>
          <w:lang w:val="en-US"/>
        </w:rPr>
      </w:pPr>
      <w:r w:rsidRPr="0056405C">
        <w:rPr>
          <w:b/>
          <w:color w:val="000066"/>
          <w:lang w:val="en-US"/>
        </w:rPr>
        <w:t>3</w:t>
      </w:r>
      <w:r w:rsidR="009E17C9" w:rsidRPr="0056405C">
        <w:rPr>
          <w:b/>
          <w:color w:val="000066"/>
          <w:lang w:val="en-US"/>
        </w:rPr>
        <w:t>0 November</w:t>
      </w:r>
      <w:r w:rsidR="00956DB3" w:rsidRPr="0056405C">
        <w:rPr>
          <w:b/>
          <w:color w:val="000066"/>
          <w:lang w:val="en-US"/>
        </w:rPr>
        <w:t xml:space="preserve"> 2018</w:t>
      </w:r>
      <w:r w:rsidR="009E17C9" w:rsidRPr="0056405C">
        <w:rPr>
          <w:b/>
          <w:color w:val="000066"/>
          <w:lang w:val="en-US"/>
        </w:rPr>
        <w:t>, Dushanbe</w:t>
      </w:r>
      <w:r w:rsidR="009E17C9">
        <w:rPr>
          <w:color w:val="000066"/>
          <w:lang w:val="en-US"/>
        </w:rPr>
        <w:t xml:space="preserve"> – </w:t>
      </w:r>
      <w:r w:rsidR="00956DB3">
        <w:rPr>
          <w:color w:val="000066"/>
          <w:lang w:val="en-US"/>
        </w:rPr>
        <w:t xml:space="preserve">On the </w:t>
      </w:r>
      <w:r w:rsidR="009E17C9">
        <w:rPr>
          <w:color w:val="000066"/>
          <w:lang w:val="en-US"/>
        </w:rPr>
        <w:t>4</w:t>
      </w:r>
      <w:r w:rsidR="009E17C9" w:rsidRPr="009E17C9">
        <w:rPr>
          <w:color w:val="000066"/>
          <w:vertAlign w:val="superscript"/>
          <w:lang w:val="en-US"/>
        </w:rPr>
        <w:t>th</w:t>
      </w:r>
      <w:r w:rsidR="009E17C9">
        <w:rPr>
          <w:color w:val="000066"/>
          <w:lang w:val="en-US"/>
        </w:rPr>
        <w:t xml:space="preserve"> and 5</w:t>
      </w:r>
      <w:r w:rsidR="009E17C9" w:rsidRPr="009E17C9">
        <w:rPr>
          <w:color w:val="000066"/>
          <w:vertAlign w:val="superscript"/>
          <w:lang w:val="en-US"/>
        </w:rPr>
        <w:t>th</w:t>
      </w:r>
      <w:r w:rsidR="009E17C9">
        <w:rPr>
          <w:color w:val="000066"/>
          <w:lang w:val="en-US"/>
        </w:rPr>
        <w:t xml:space="preserve"> of Decem</w:t>
      </w:r>
      <w:bookmarkStart w:id="0" w:name="_GoBack"/>
      <w:bookmarkEnd w:id="0"/>
      <w:r w:rsidR="009E17C9">
        <w:rPr>
          <w:color w:val="000066"/>
          <w:lang w:val="en-US"/>
        </w:rPr>
        <w:t>ber 2018</w:t>
      </w:r>
      <w:r w:rsidR="009E17C9" w:rsidRPr="009E17C9">
        <w:rPr>
          <w:color w:val="000066"/>
          <w:lang w:val="en-US"/>
        </w:rPr>
        <w:t>, a</w:t>
      </w:r>
      <w:r w:rsidR="009E17C9" w:rsidRPr="009E17C9">
        <w:t xml:space="preserve"> </w:t>
      </w:r>
      <w:r w:rsidR="009E17C9">
        <w:rPr>
          <w:color w:val="000066"/>
          <w:lang w:val="en-US"/>
        </w:rPr>
        <w:t>scientific-practical C</w:t>
      </w:r>
      <w:r w:rsidR="009E17C9" w:rsidRPr="009E17C9">
        <w:rPr>
          <w:color w:val="000066"/>
          <w:lang w:val="en-US"/>
        </w:rPr>
        <w:t>onference</w:t>
      </w:r>
      <w:r w:rsidR="009E17C9">
        <w:rPr>
          <w:color w:val="000066"/>
          <w:lang w:val="en-US"/>
        </w:rPr>
        <w:t xml:space="preserve"> </w:t>
      </w:r>
      <w:r w:rsidR="00956DB3">
        <w:rPr>
          <w:color w:val="000066"/>
          <w:lang w:val="en-US"/>
        </w:rPr>
        <w:t xml:space="preserve">will </w:t>
      </w:r>
      <w:r w:rsidR="009E17C9">
        <w:rPr>
          <w:color w:val="000066"/>
          <w:lang w:val="en-US"/>
        </w:rPr>
        <w:t>be held</w:t>
      </w:r>
      <w:r w:rsidR="009E17C9" w:rsidRPr="009E17C9">
        <w:rPr>
          <w:color w:val="000066"/>
          <w:lang w:val="en-US"/>
        </w:rPr>
        <w:t xml:space="preserve"> on “Import substitution and cluster development in fruit and vegetable industry for promoting economic growth: from theory to practice</w:t>
      </w:r>
      <w:r w:rsidR="00956DB3">
        <w:rPr>
          <w:color w:val="000066"/>
          <w:lang w:val="en-US"/>
        </w:rPr>
        <w:t>"</w:t>
      </w:r>
      <w:r w:rsidR="009E17C9" w:rsidRPr="009E17C9">
        <w:rPr>
          <w:color w:val="000066"/>
          <w:lang w:val="en-US"/>
        </w:rPr>
        <w:t xml:space="preserve">. </w:t>
      </w:r>
      <w:r w:rsidR="00956DB3" w:rsidRPr="00911CC2">
        <w:rPr>
          <w:color w:val="000066"/>
          <w:lang w:val="en-US"/>
        </w:rPr>
        <w:t>The Conference takes plac</w:t>
      </w:r>
      <w:r w:rsidR="00911CC2" w:rsidRPr="00A40E63">
        <w:rPr>
          <w:color w:val="000066"/>
          <w:lang w:val="en-US"/>
        </w:rPr>
        <w:t>e in Dushanbe Serena Hotel</w:t>
      </w:r>
      <w:r w:rsidR="00911CC2">
        <w:rPr>
          <w:color w:val="000066"/>
          <w:lang w:val="en-US"/>
        </w:rPr>
        <w:t>.</w:t>
      </w:r>
    </w:p>
    <w:p w:rsidR="00216CEF" w:rsidRDefault="009E17C9" w:rsidP="00EF1305">
      <w:pPr>
        <w:pStyle w:val="BodyText"/>
        <w:tabs>
          <w:tab w:val="left" w:pos="10915"/>
        </w:tabs>
        <w:spacing w:before="100" w:beforeAutospacing="1" w:after="100" w:afterAutospacing="1"/>
        <w:ind w:left="1133"/>
        <w:jc w:val="both"/>
        <w:rPr>
          <w:color w:val="000066"/>
          <w:lang w:val="en-US"/>
        </w:rPr>
      </w:pPr>
      <w:r>
        <w:rPr>
          <w:color w:val="000066"/>
          <w:lang w:val="en-US"/>
        </w:rPr>
        <w:t>T</w:t>
      </w:r>
      <w:r w:rsidRPr="009E17C9">
        <w:rPr>
          <w:color w:val="000066"/>
          <w:lang w:val="en-US"/>
        </w:rPr>
        <w:t>he scope of the Conference is focused on improving the implementation of the</w:t>
      </w:r>
      <w:r w:rsidR="00396377">
        <w:rPr>
          <w:color w:val="000066"/>
          <w:lang w:val="en-US"/>
        </w:rPr>
        <w:t xml:space="preserve"> </w:t>
      </w:r>
      <w:r w:rsidR="00396377" w:rsidRPr="00396377">
        <w:rPr>
          <w:color w:val="000066"/>
          <w:lang w:val="en-US"/>
        </w:rPr>
        <w:t xml:space="preserve">existing import substitution program and creating a favorable environment for efficient interaction between advanced scientific approaches and practical skills in the development of the fruit and vegetable sector in Tajikistan. </w:t>
      </w:r>
      <w:r w:rsidRPr="009E17C9">
        <w:rPr>
          <w:color w:val="000066"/>
          <w:lang w:val="en-US"/>
        </w:rPr>
        <w:t xml:space="preserve"> </w:t>
      </w:r>
    </w:p>
    <w:p w:rsidR="009E17C9" w:rsidRPr="00396377" w:rsidRDefault="00396377" w:rsidP="00EF1305">
      <w:pPr>
        <w:pStyle w:val="BodyText"/>
        <w:tabs>
          <w:tab w:val="left" w:pos="10915"/>
        </w:tabs>
        <w:spacing w:before="100" w:beforeAutospacing="1" w:after="100" w:afterAutospacing="1"/>
        <w:ind w:left="1133"/>
        <w:jc w:val="both"/>
        <w:rPr>
          <w:color w:val="000066"/>
          <w:lang w:val="en-US"/>
        </w:rPr>
      </w:pPr>
      <w:r w:rsidRPr="00396377">
        <w:rPr>
          <w:color w:val="000066"/>
          <w:lang w:val="en-US"/>
        </w:rPr>
        <w:t>The conference will offer a platform for exchange of knowledge and experience among enter</w:t>
      </w:r>
      <w:r w:rsidR="00216CEF">
        <w:rPr>
          <w:color w:val="000066"/>
          <w:lang w:val="en-US"/>
        </w:rPr>
        <w:t>prises, academic institutions, u</w:t>
      </w:r>
      <w:r w:rsidRPr="00396377">
        <w:rPr>
          <w:color w:val="000066"/>
          <w:lang w:val="en-US"/>
        </w:rPr>
        <w:t>niversities, the state and financial institutions</w:t>
      </w:r>
      <w:r w:rsidR="00216CEF">
        <w:rPr>
          <w:color w:val="000066"/>
          <w:lang w:val="en-US"/>
        </w:rPr>
        <w:t>, international organizations and business association</w:t>
      </w:r>
      <w:r w:rsidRPr="00396377">
        <w:rPr>
          <w:color w:val="000066"/>
          <w:lang w:val="en-US"/>
        </w:rPr>
        <w:t xml:space="preserve"> in the form of scientific presentations, reviews of existing practices and a dialog on the cluster interaction.</w:t>
      </w:r>
    </w:p>
    <w:p w:rsidR="00216CEF" w:rsidRPr="00216CEF" w:rsidRDefault="00216CEF" w:rsidP="00EF1305">
      <w:pPr>
        <w:pStyle w:val="BodyText"/>
        <w:tabs>
          <w:tab w:val="left" w:pos="10915"/>
        </w:tabs>
        <w:spacing w:before="100" w:beforeAutospacing="1" w:after="100" w:afterAutospacing="1"/>
        <w:ind w:left="1133"/>
        <w:jc w:val="both"/>
        <w:rPr>
          <w:color w:val="000066"/>
        </w:rPr>
      </w:pPr>
      <w:r w:rsidRPr="00216CEF">
        <w:rPr>
          <w:color w:val="000066"/>
        </w:rPr>
        <w:t>It is expected that a business network of future cooperation</w:t>
      </w:r>
      <w:r>
        <w:rPr>
          <w:color w:val="000066"/>
        </w:rPr>
        <w:t xml:space="preserve"> </w:t>
      </w:r>
      <w:r w:rsidRPr="00216CEF">
        <w:rPr>
          <w:color w:val="000066"/>
        </w:rPr>
        <w:t>in agricultural development</w:t>
      </w:r>
      <w:r>
        <w:rPr>
          <w:color w:val="000066"/>
        </w:rPr>
        <w:t xml:space="preserve"> will be set up</w:t>
      </w:r>
      <w:r w:rsidRPr="00216CEF">
        <w:rPr>
          <w:color w:val="000066"/>
        </w:rPr>
        <w:t xml:space="preserve"> during the Conf</w:t>
      </w:r>
      <w:r>
        <w:rPr>
          <w:color w:val="000066"/>
        </w:rPr>
        <w:t>erence.</w:t>
      </w:r>
    </w:p>
    <w:p w:rsidR="004239A7" w:rsidRDefault="00216CEF" w:rsidP="00EF1305">
      <w:pPr>
        <w:tabs>
          <w:tab w:val="left" w:pos="10915"/>
        </w:tabs>
        <w:spacing w:before="100" w:beforeAutospacing="1" w:after="100" w:afterAutospacing="1"/>
        <w:ind w:left="1133"/>
        <w:jc w:val="both"/>
        <w:rPr>
          <w:color w:val="000066"/>
          <w:sz w:val="24"/>
        </w:rPr>
      </w:pPr>
      <w:r>
        <w:rPr>
          <w:color w:val="000066"/>
          <w:sz w:val="24"/>
        </w:rPr>
        <w:t>The Conference</w:t>
      </w:r>
      <w:r w:rsidR="008B715B">
        <w:rPr>
          <w:color w:val="000066"/>
          <w:sz w:val="24"/>
        </w:rPr>
        <w:t xml:space="preserve"> is organized</w:t>
      </w:r>
      <w:r>
        <w:rPr>
          <w:color w:val="000066"/>
          <w:sz w:val="24"/>
        </w:rPr>
        <w:t xml:space="preserve"> by </w:t>
      </w:r>
      <w:r w:rsidRPr="008B715B">
        <w:rPr>
          <w:b/>
          <w:color w:val="000066"/>
          <w:sz w:val="24"/>
        </w:rPr>
        <w:t>National Association of Small and Medium Business</w:t>
      </w:r>
      <w:r>
        <w:rPr>
          <w:color w:val="000066"/>
          <w:sz w:val="24"/>
        </w:rPr>
        <w:t xml:space="preserve"> </w:t>
      </w:r>
      <w:r w:rsidR="008B715B">
        <w:rPr>
          <w:color w:val="000066"/>
          <w:sz w:val="24"/>
        </w:rPr>
        <w:t xml:space="preserve"> </w:t>
      </w:r>
      <w:r>
        <w:rPr>
          <w:color w:val="000066"/>
          <w:sz w:val="24"/>
        </w:rPr>
        <w:t xml:space="preserve">together with </w:t>
      </w:r>
      <w:proofErr w:type="spellStart"/>
      <w:r w:rsidR="008B715B">
        <w:rPr>
          <w:b/>
          <w:color w:val="000066"/>
          <w:sz w:val="24"/>
        </w:rPr>
        <w:t>Hilfswerk</w:t>
      </w:r>
      <w:proofErr w:type="spellEnd"/>
      <w:r w:rsidR="008B715B">
        <w:rPr>
          <w:b/>
          <w:color w:val="000066"/>
          <w:sz w:val="24"/>
        </w:rPr>
        <w:t xml:space="preserve"> International </w:t>
      </w:r>
      <w:r w:rsidR="008B715B">
        <w:rPr>
          <w:color w:val="000066"/>
          <w:sz w:val="24"/>
        </w:rPr>
        <w:t>in the framework of the project “</w:t>
      </w:r>
      <w:r w:rsidR="008B715B">
        <w:rPr>
          <w:i/>
          <w:color w:val="000066"/>
          <w:sz w:val="24"/>
        </w:rPr>
        <w:t>Advanced Support Programme to Central Asian Business Intermediary Organizations – Specialized and Integrated Services for Export-Oriented Food Processing SMEs - CANDY - IV</w:t>
      </w:r>
      <w:r w:rsidR="008B715B">
        <w:rPr>
          <w:color w:val="000066"/>
          <w:sz w:val="24"/>
        </w:rPr>
        <w:t xml:space="preserve">", funded by the program of the </w:t>
      </w:r>
      <w:r w:rsidR="008B715B">
        <w:rPr>
          <w:b/>
          <w:color w:val="000066"/>
          <w:sz w:val="24"/>
        </w:rPr>
        <w:t xml:space="preserve">European Union </w:t>
      </w:r>
      <w:r w:rsidR="008B715B">
        <w:rPr>
          <w:color w:val="000066"/>
          <w:sz w:val="24"/>
        </w:rPr>
        <w:t>"Central Asia - Invest IV".</w:t>
      </w:r>
    </w:p>
    <w:p w:rsidR="00294F5A" w:rsidRDefault="008B715B" w:rsidP="00EF1305">
      <w:pPr>
        <w:tabs>
          <w:tab w:val="left" w:pos="10915"/>
        </w:tabs>
        <w:spacing w:before="100" w:beforeAutospacing="1" w:after="100" w:afterAutospacing="1"/>
        <w:ind w:left="1133"/>
        <w:jc w:val="both"/>
        <w:rPr>
          <w:b/>
          <w:color w:val="000066"/>
          <w:sz w:val="24"/>
          <w:lang w:val="tg-Cyrl-TJ"/>
        </w:rPr>
      </w:pPr>
      <w:r w:rsidRPr="00554288">
        <w:rPr>
          <w:b/>
          <w:color w:val="000066"/>
          <w:sz w:val="24"/>
        </w:rPr>
        <w:t xml:space="preserve">For more information, please contact the following e-mail: </w:t>
      </w:r>
      <w:hyperlink r:id="rId6" w:history="1">
        <w:r w:rsidR="00554288" w:rsidRPr="00554288">
          <w:rPr>
            <w:rStyle w:val="Hyperlink"/>
            <w:b/>
            <w:sz w:val="24"/>
          </w:rPr>
          <w:t>info@namsb.tj</w:t>
        </w:r>
      </w:hyperlink>
      <w:r w:rsidR="00554288" w:rsidRPr="00554288">
        <w:rPr>
          <w:b/>
          <w:color w:val="000066"/>
          <w:sz w:val="24"/>
        </w:rPr>
        <w:t xml:space="preserve"> or </w:t>
      </w:r>
      <w:r w:rsidR="009572EC" w:rsidRPr="00554288">
        <w:rPr>
          <w:b/>
          <w:color w:val="000066"/>
          <w:sz w:val="24"/>
          <w:lang w:val="ru-RU"/>
        </w:rPr>
        <w:t>с</w:t>
      </w:r>
      <w:r w:rsidR="009572EC" w:rsidRPr="00554288">
        <w:rPr>
          <w:b/>
          <w:color w:val="000066"/>
          <w:sz w:val="24"/>
          <w:lang w:val="en-US"/>
        </w:rPr>
        <w:t xml:space="preserve">all </w:t>
      </w:r>
      <w:r w:rsidR="009572EC">
        <w:rPr>
          <w:b/>
          <w:color w:val="000066"/>
          <w:sz w:val="24"/>
          <w:lang w:val="en-US"/>
        </w:rPr>
        <w:t>by</w:t>
      </w:r>
      <w:r w:rsidR="00554288">
        <w:rPr>
          <w:b/>
          <w:color w:val="000066"/>
          <w:sz w:val="24"/>
          <w:lang w:val="en-US"/>
        </w:rPr>
        <w:t xml:space="preserve"> phone +992 </w:t>
      </w:r>
      <w:r w:rsidR="00554288" w:rsidRPr="00554288">
        <w:rPr>
          <w:b/>
          <w:color w:val="000066"/>
          <w:sz w:val="24"/>
          <w:lang w:val="en-US"/>
        </w:rPr>
        <w:t>93 315 50 53</w:t>
      </w:r>
      <w:r w:rsidR="00486EF4">
        <w:rPr>
          <w:b/>
          <w:color w:val="000066"/>
          <w:sz w:val="24"/>
          <w:lang w:val="en-US"/>
        </w:rPr>
        <w:t xml:space="preserve">. </w:t>
      </w:r>
      <w:r w:rsidR="00554288">
        <w:rPr>
          <w:b/>
          <w:color w:val="000066"/>
          <w:sz w:val="24"/>
          <w:lang w:val="en-US"/>
        </w:rPr>
        <w:t xml:space="preserve"> </w:t>
      </w:r>
    </w:p>
    <w:tbl>
      <w:tblPr>
        <w:tblW w:w="9900" w:type="dxa"/>
        <w:tblInd w:w="1008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240"/>
        <w:gridCol w:w="3960"/>
      </w:tblGrid>
      <w:tr w:rsidR="00294F5A" w:rsidRPr="00486627" w:rsidTr="00E33FC9">
        <w:tc>
          <w:tcPr>
            <w:tcW w:w="2700" w:type="dxa"/>
          </w:tcPr>
          <w:p w:rsidR="00294F5A" w:rsidRPr="00DE3B36" w:rsidRDefault="00294F5A" w:rsidP="00E33FC9">
            <w:pPr>
              <w:jc w:val="both"/>
              <w:rPr>
                <w:sz w:val="16"/>
                <w:szCs w:val="16"/>
                <w:lang w:val="en-TT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68433671" behindDoc="0" locked="0" layoutInCell="0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114935</wp:posOffset>
                  </wp:positionV>
                  <wp:extent cx="552450" cy="352425"/>
                  <wp:effectExtent l="0" t="0" r="0" b="9525"/>
                  <wp:wrapNone/>
                  <wp:docPr id="9" name="Picture 9" descr="eu_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_logo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3B36">
              <w:rPr>
                <w:sz w:val="16"/>
                <w:szCs w:val="16"/>
                <w:lang w:val="en-TT"/>
              </w:rPr>
              <w:t>A project implemented</w:t>
            </w:r>
          </w:p>
          <w:p w:rsidR="00294F5A" w:rsidRDefault="00294F5A" w:rsidP="00E33FC9">
            <w:pPr>
              <w:ind w:right="65"/>
              <w:jc w:val="both"/>
              <w:rPr>
                <w:sz w:val="16"/>
                <w:szCs w:val="16"/>
                <w:lang w:val="en-TT"/>
              </w:rPr>
            </w:pPr>
          </w:p>
          <w:p w:rsidR="00294F5A" w:rsidRDefault="00294F5A" w:rsidP="00294F5A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5FC277C" wp14:editId="05837DDE">
                  <wp:extent cx="506730" cy="50673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4F5A" w:rsidRPr="00294F5A" w:rsidRDefault="00294F5A" w:rsidP="00294F5A">
            <w:pPr>
              <w:pStyle w:val="TableParagraph"/>
              <w:spacing w:before="141"/>
              <w:ind w:left="108" w:right="-52"/>
              <w:rPr>
                <w:sz w:val="16"/>
                <w:szCs w:val="16"/>
              </w:rPr>
            </w:pPr>
            <w:r w:rsidRPr="00294F5A">
              <w:rPr>
                <w:color w:val="000066"/>
                <w:sz w:val="16"/>
                <w:szCs w:val="16"/>
              </w:rPr>
              <w:t xml:space="preserve">Address: </w:t>
            </w:r>
            <w:proofErr w:type="spellStart"/>
            <w:r w:rsidRPr="00294F5A">
              <w:rPr>
                <w:color w:val="000066"/>
                <w:sz w:val="16"/>
                <w:szCs w:val="16"/>
              </w:rPr>
              <w:t>Loik</w:t>
            </w:r>
            <w:proofErr w:type="spellEnd"/>
            <w:r w:rsidRPr="00294F5A">
              <w:rPr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294F5A">
              <w:rPr>
                <w:color w:val="000066"/>
                <w:sz w:val="16"/>
                <w:szCs w:val="16"/>
              </w:rPr>
              <w:t>Sherali</w:t>
            </w:r>
            <w:proofErr w:type="spellEnd"/>
            <w:r w:rsidRPr="00294F5A">
              <w:rPr>
                <w:color w:val="000066"/>
                <w:sz w:val="16"/>
                <w:szCs w:val="16"/>
              </w:rPr>
              <w:t xml:space="preserve"> 3, Dushanbe, Tajikistan Tel: (+992) 372 24 49 08</w:t>
            </w:r>
          </w:p>
          <w:p w:rsidR="00294F5A" w:rsidRPr="00294F5A" w:rsidRDefault="00294F5A" w:rsidP="00294F5A">
            <w:pPr>
              <w:pStyle w:val="TableParagraph"/>
              <w:ind w:left="108" w:right="-52"/>
              <w:rPr>
                <w:sz w:val="16"/>
                <w:szCs w:val="16"/>
              </w:rPr>
            </w:pPr>
          </w:p>
          <w:p w:rsidR="00294F5A" w:rsidRPr="00DE3B36" w:rsidRDefault="00294F5A" w:rsidP="00294F5A">
            <w:pPr>
              <w:ind w:left="108" w:right="-52"/>
              <w:jc w:val="both"/>
              <w:rPr>
                <w:lang w:val="en-TT"/>
              </w:rPr>
            </w:pPr>
            <w:hyperlink r:id="rId9" w:history="1">
              <w:r w:rsidRPr="000570F0">
                <w:rPr>
                  <w:rStyle w:val="Hyperlink"/>
                  <w:sz w:val="16"/>
                  <w:szCs w:val="16"/>
                </w:rPr>
                <w:t>info@namsb.tj</w:t>
              </w:r>
            </w:hyperlink>
            <w:r>
              <w:rPr>
                <w:sz w:val="16"/>
                <w:szCs w:val="16"/>
                <w:lang w:val="en-US"/>
              </w:rPr>
              <w:t xml:space="preserve">; </w:t>
            </w:r>
            <w:r w:rsidRPr="00294F5A">
              <w:rPr>
                <w:sz w:val="16"/>
                <w:szCs w:val="16"/>
              </w:rPr>
              <w:t xml:space="preserve"> </w:t>
            </w:r>
            <w:hyperlink r:id="rId10" w:history="1">
              <w:r w:rsidRPr="00294F5A">
                <w:rPr>
                  <w:rStyle w:val="Hyperlink"/>
                  <w:sz w:val="16"/>
                  <w:szCs w:val="16"/>
                </w:rPr>
                <w:t>aslanov@hilfswerk.tj</w:t>
              </w:r>
            </w:hyperlink>
            <w:r w:rsidRPr="00294F5A">
              <w:rPr>
                <w:color w:val="000066"/>
                <w:sz w:val="16"/>
                <w:szCs w:val="16"/>
              </w:rPr>
              <w:t xml:space="preserve"> </w:t>
            </w:r>
            <w:hyperlink r:id="rId11">
              <w:r w:rsidRPr="00294F5A">
                <w:rPr>
                  <w:color w:val="000066"/>
                  <w:sz w:val="16"/>
                  <w:szCs w:val="16"/>
                </w:rPr>
                <w:t>www.hilfswerk.tj</w:t>
              </w:r>
            </w:hyperlink>
            <w:r>
              <w:rPr>
                <w:color w:val="000066"/>
                <w:sz w:val="16"/>
                <w:szCs w:val="16"/>
              </w:rPr>
              <w:t xml:space="preserve">; </w:t>
            </w:r>
          </w:p>
        </w:tc>
        <w:tc>
          <w:tcPr>
            <w:tcW w:w="3240" w:type="dxa"/>
          </w:tcPr>
          <w:p w:rsidR="00294F5A" w:rsidRPr="00DE3B36" w:rsidRDefault="00294F5A" w:rsidP="00E33FC9">
            <w:pPr>
              <w:ind w:left="1134" w:right="1134"/>
              <w:jc w:val="both"/>
              <w:rPr>
                <w:sz w:val="16"/>
                <w:szCs w:val="16"/>
                <w:lang w:val="en-TT"/>
              </w:rPr>
            </w:pPr>
          </w:p>
          <w:p w:rsidR="00294F5A" w:rsidRPr="001F5702" w:rsidRDefault="00294F5A" w:rsidP="00E33FC9">
            <w:pPr>
              <w:tabs>
                <w:tab w:val="center" w:pos="1422"/>
              </w:tabs>
              <w:ind w:left="1134" w:right="72"/>
              <w:jc w:val="both"/>
              <w:rPr>
                <w:sz w:val="16"/>
                <w:szCs w:val="16"/>
              </w:rPr>
            </w:pPr>
            <w:r w:rsidRPr="001F5702">
              <w:rPr>
                <w:sz w:val="16"/>
                <w:szCs w:val="16"/>
              </w:rPr>
              <w:t>This project is funded</w:t>
            </w:r>
          </w:p>
          <w:p w:rsidR="00294F5A" w:rsidRPr="001F5702" w:rsidRDefault="00294F5A" w:rsidP="00E33FC9">
            <w:pPr>
              <w:ind w:left="1134" w:right="72"/>
              <w:jc w:val="both"/>
              <w:rPr>
                <w:sz w:val="16"/>
                <w:szCs w:val="16"/>
              </w:rPr>
            </w:pPr>
            <w:r w:rsidRPr="001F5702">
              <w:rPr>
                <w:sz w:val="16"/>
                <w:szCs w:val="16"/>
              </w:rPr>
              <w:t>by the European Union</w:t>
            </w:r>
          </w:p>
          <w:p w:rsidR="00294F5A" w:rsidRPr="001F5702" w:rsidRDefault="00294F5A" w:rsidP="00E33FC9">
            <w:pPr>
              <w:ind w:left="1134" w:right="1134"/>
              <w:jc w:val="both"/>
              <w:rPr>
                <w:sz w:val="16"/>
                <w:szCs w:val="16"/>
              </w:rPr>
            </w:pPr>
          </w:p>
          <w:p w:rsidR="008A293B" w:rsidRDefault="008A293B" w:rsidP="00E33FC9">
            <w:pPr>
              <w:tabs>
                <w:tab w:val="left" w:pos="3499"/>
              </w:tabs>
              <w:ind w:left="79" w:right="72"/>
              <w:jc w:val="both"/>
              <w:rPr>
                <w:sz w:val="16"/>
                <w:szCs w:val="16"/>
              </w:rPr>
            </w:pPr>
          </w:p>
          <w:p w:rsidR="00294F5A" w:rsidRPr="001F5702" w:rsidRDefault="00294F5A" w:rsidP="00E33FC9">
            <w:pPr>
              <w:tabs>
                <w:tab w:val="left" w:pos="3499"/>
              </w:tabs>
              <w:ind w:left="79" w:right="72"/>
              <w:jc w:val="both"/>
              <w:rPr>
                <w:sz w:val="16"/>
                <w:szCs w:val="16"/>
              </w:rPr>
            </w:pPr>
            <w:r w:rsidRPr="001F5702">
              <w:rPr>
                <w:sz w:val="16"/>
                <w:szCs w:val="16"/>
              </w:rPr>
              <w:t>Delegation of the European Union</w:t>
            </w:r>
          </w:p>
          <w:p w:rsidR="00294F5A" w:rsidRPr="001F5702" w:rsidRDefault="00294F5A" w:rsidP="00E33FC9">
            <w:pPr>
              <w:tabs>
                <w:tab w:val="left" w:pos="3499"/>
              </w:tabs>
              <w:ind w:left="79" w:right="72"/>
              <w:jc w:val="both"/>
              <w:rPr>
                <w:sz w:val="16"/>
                <w:szCs w:val="16"/>
              </w:rPr>
            </w:pPr>
            <w:r w:rsidRPr="001F5702">
              <w:rPr>
                <w:sz w:val="16"/>
                <w:szCs w:val="16"/>
              </w:rPr>
              <w:t>To the Republic of Tajikistan</w:t>
            </w:r>
          </w:p>
          <w:p w:rsidR="00294F5A" w:rsidRPr="001F5702" w:rsidRDefault="00294F5A" w:rsidP="00E33FC9">
            <w:pPr>
              <w:tabs>
                <w:tab w:val="left" w:pos="3499"/>
              </w:tabs>
              <w:ind w:left="79" w:right="72"/>
              <w:jc w:val="both"/>
              <w:rPr>
                <w:sz w:val="16"/>
                <w:szCs w:val="16"/>
              </w:rPr>
            </w:pPr>
          </w:p>
          <w:p w:rsidR="00294F5A" w:rsidRPr="001F5702" w:rsidRDefault="00294F5A" w:rsidP="00E33FC9">
            <w:pPr>
              <w:tabs>
                <w:tab w:val="left" w:pos="3499"/>
              </w:tabs>
              <w:ind w:left="79" w:right="72"/>
              <w:jc w:val="both"/>
              <w:rPr>
                <w:sz w:val="16"/>
                <w:szCs w:val="16"/>
              </w:rPr>
            </w:pPr>
            <w:r w:rsidRPr="001F5702">
              <w:rPr>
                <w:sz w:val="16"/>
                <w:szCs w:val="16"/>
              </w:rPr>
              <w:t xml:space="preserve">74 </w:t>
            </w:r>
            <w:proofErr w:type="spellStart"/>
            <w:r w:rsidRPr="001F5702">
              <w:rPr>
                <w:sz w:val="16"/>
                <w:szCs w:val="16"/>
              </w:rPr>
              <w:t>Adhamov</w:t>
            </w:r>
            <w:proofErr w:type="spellEnd"/>
            <w:r w:rsidRPr="001F5702">
              <w:rPr>
                <w:sz w:val="16"/>
                <w:szCs w:val="16"/>
              </w:rPr>
              <w:t xml:space="preserve"> Street</w:t>
            </w:r>
          </w:p>
          <w:p w:rsidR="00294F5A" w:rsidRPr="001F5702" w:rsidRDefault="00294F5A" w:rsidP="00E33FC9">
            <w:pPr>
              <w:tabs>
                <w:tab w:val="left" w:pos="3499"/>
              </w:tabs>
              <w:ind w:left="79" w:right="72"/>
              <w:jc w:val="both"/>
              <w:rPr>
                <w:sz w:val="16"/>
                <w:szCs w:val="16"/>
              </w:rPr>
            </w:pPr>
            <w:r w:rsidRPr="001F5702">
              <w:rPr>
                <w:sz w:val="16"/>
                <w:szCs w:val="16"/>
              </w:rPr>
              <w:t>734013 Dushanbe, Republic of Tajikistan</w:t>
            </w:r>
          </w:p>
          <w:p w:rsidR="00294F5A" w:rsidRPr="00294F5A" w:rsidRDefault="00294F5A" w:rsidP="00E33FC9">
            <w:pPr>
              <w:tabs>
                <w:tab w:val="left" w:pos="3499"/>
              </w:tabs>
              <w:ind w:left="79" w:right="72"/>
              <w:jc w:val="both"/>
              <w:rPr>
                <w:sz w:val="16"/>
                <w:szCs w:val="16"/>
                <w:lang w:val="de-DE"/>
              </w:rPr>
            </w:pPr>
            <w:r w:rsidRPr="00294F5A">
              <w:rPr>
                <w:sz w:val="16"/>
                <w:szCs w:val="16"/>
                <w:lang w:val="de-DE"/>
              </w:rPr>
              <w:t xml:space="preserve">Tel:  (+992 37) 221 74 07, 227 10 24 </w:t>
            </w:r>
          </w:p>
          <w:p w:rsidR="00294F5A" w:rsidRPr="00294F5A" w:rsidRDefault="00294F5A" w:rsidP="00E33FC9">
            <w:pPr>
              <w:tabs>
                <w:tab w:val="left" w:pos="3499"/>
              </w:tabs>
              <w:ind w:left="79" w:right="72"/>
              <w:jc w:val="both"/>
              <w:rPr>
                <w:sz w:val="16"/>
                <w:szCs w:val="16"/>
                <w:lang w:val="de-DE"/>
              </w:rPr>
            </w:pPr>
            <w:hyperlink r:id="rId12" w:history="1">
              <w:r w:rsidRPr="00294F5A">
                <w:rPr>
                  <w:rStyle w:val="Hyperlink"/>
                  <w:sz w:val="16"/>
                  <w:szCs w:val="16"/>
                  <w:lang w:val="de-DE"/>
                </w:rPr>
                <w:t>Delegation-Tajikistan-Pic@eeas.europa.eu</w:t>
              </w:r>
            </w:hyperlink>
            <w:r w:rsidRPr="00294F5A">
              <w:rPr>
                <w:sz w:val="16"/>
                <w:szCs w:val="16"/>
                <w:lang w:val="de-DE"/>
              </w:rPr>
              <w:t xml:space="preserve">   </w:t>
            </w:r>
          </w:p>
          <w:p w:rsidR="00294F5A" w:rsidRPr="001F5702" w:rsidRDefault="00294F5A" w:rsidP="00E33FC9">
            <w:pPr>
              <w:rPr>
                <w:lang w:val="pt-PT" w:eastAsia="en-US" w:bidi="ar-JO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285750" cy="285750"/>
                  <wp:effectExtent l="0" t="0" r="0" b="0"/>
                  <wp:docPr id="6" name="Picture 6" descr="web-clip-wide-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b-clip-wide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702">
              <w:rPr>
                <w:lang w:val="pt-PT"/>
              </w:rP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266700" cy="266700"/>
                  <wp:effectExtent l="0" t="0" r="0" b="0"/>
                  <wp:docPr id="4" name="Picture 4" descr="twitter ic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 ico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702">
              <w:rPr>
                <w:lang w:val="pt-PT"/>
              </w:rP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257175" cy="257175"/>
                  <wp:effectExtent l="0" t="0" r="9525" b="9525"/>
                  <wp:docPr id="2" name="Picture 2" descr="fb_icon_325x32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b_icon_325x325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F5A" w:rsidRPr="00C76637" w:rsidRDefault="00294F5A" w:rsidP="00E33FC9">
            <w:pPr>
              <w:tabs>
                <w:tab w:val="left" w:pos="2592"/>
                <w:tab w:val="left" w:pos="3499"/>
              </w:tabs>
              <w:ind w:left="79" w:right="72"/>
              <w:rPr>
                <w:sz w:val="16"/>
                <w:szCs w:val="16"/>
                <w:lang w:val="pt-PT"/>
              </w:rPr>
            </w:pPr>
          </w:p>
        </w:tc>
        <w:tc>
          <w:tcPr>
            <w:tcW w:w="3960" w:type="dxa"/>
          </w:tcPr>
          <w:p w:rsidR="00294F5A" w:rsidRPr="00294F5A" w:rsidRDefault="00294F5A" w:rsidP="00E33FC9">
            <w:pPr>
              <w:ind w:left="1134" w:right="1134"/>
              <w:jc w:val="both"/>
              <w:rPr>
                <w:sz w:val="16"/>
                <w:szCs w:val="16"/>
              </w:rPr>
            </w:pPr>
          </w:p>
          <w:p w:rsidR="00294F5A" w:rsidRPr="00537E5F" w:rsidRDefault="00294F5A" w:rsidP="00E33FC9">
            <w:pPr>
              <w:tabs>
                <w:tab w:val="left" w:pos="2420"/>
              </w:tabs>
              <w:ind w:left="65" w:right="-33"/>
              <w:jc w:val="both"/>
              <w:rPr>
                <w:sz w:val="16"/>
                <w:szCs w:val="16"/>
              </w:rPr>
            </w:pPr>
            <w:r w:rsidRPr="00486627">
              <w:rPr>
                <w:sz w:val="16"/>
                <w:szCs w:val="16"/>
              </w:rPr>
              <w:t>The European Union is made up of 2</w:t>
            </w:r>
            <w:r>
              <w:rPr>
                <w:sz w:val="16"/>
                <w:szCs w:val="16"/>
              </w:rPr>
              <w:t>8</w:t>
            </w:r>
            <w:r w:rsidRPr="00486627">
              <w:rPr>
                <w:sz w:val="16"/>
                <w:szCs w:val="16"/>
              </w:rPr>
              <w:t xml:space="preserve"> Member States who have decided to gradually link together their know-how, resources and destinies. Together, during a period of enlargement</w:t>
            </w:r>
            <w:r>
              <w:rPr>
                <w:sz w:val="16"/>
                <w:szCs w:val="16"/>
              </w:rPr>
              <w:t xml:space="preserve"> of 6</w:t>
            </w:r>
            <w:r w:rsidRPr="00486627">
              <w:rPr>
                <w:sz w:val="16"/>
                <w:szCs w:val="16"/>
              </w:rPr>
              <w:t>0 years, they have built a zone of stability, democracy and sustainable development whilst maintaining cultural diversity, tolerance and individual freedoms. The European Union is committed to sharing its achievements and its values with countries</w:t>
            </w:r>
            <w:r>
              <w:rPr>
                <w:sz w:val="16"/>
                <w:szCs w:val="16"/>
              </w:rPr>
              <w:t xml:space="preserve"> and peoples beyond its borders</w:t>
            </w:r>
            <w:r w:rsidRPr="00486627">
              <w:rPr>
                <w:sz w:val="16"/>
                <w:szCs w:val="16"/>
              </w:rPr>
              <w:t>.</w:t>
            </w:r>
            <w:r w:rsidRPr="00537E5F">
              <w:rPr>
                <w:sz w:val="16"/>
                <w:szCs w:val="16"/>
              </w:rPr>
              <w:t xml:space="preserve"> </w:t>
            </w:r>
            <w:r w:rsidRPr="00502E09">
              <w:rPr>
                <w:sz w:val="16"/>
                <w:szCs w:val="16"/>
              </w:rPr>
              <w:t xml:space="preserve">To this end the EU is active in Tajikistan since 1992 </w:t>
            </w:r>
            <w:r>
              <w:rPr>
                <w:sz w:val="16"/>
                <w:szCs w:val="16"/>
              </w:rPr>
              <w:t xml:space="preserve">and provides approximately EUR </w:t>
            </w:r>
            <w:r w:rsidRPr="00FD2FA9">
              <w:rPr>
                <w:sz w:val="16"/>
                <w:szCs w:val="16"/>
              </w:rPr>
              <w:t>3</w:t>
            </w:r>
            <w:r w:rsidRPr="00502E09">
              <w:rPr>
                <w:sz w:val="16"/>
                <w:szCs w:val="16"/>
              </w:rPr>
              <w:t>5 million</w:t>
            </w:r>
            <w:r>
              <w:rPr>
                <w:sz w:val="16"/>
                <w:szCs w:val="16"/>
              </w:rPr>
              <w:t xml:space="preserve"> annually</w:t>
            </w:r>
            <w:r w:rsidRPr="00502E09">
              <w:rPr>
                <w:sz w:val="16"/>
                <w:szCs w:val="16"/>
              </w:rPr>
              <w:t xml:space="preserve"> in development assistance</w:t>
            </w:r>
            <w:r w:rsidRPr="00537E5F">
              <w:rPr>
                <w:sz w:val="16"/>
                <w:szCs w:val="16"/>
              </w:rPr>
              <w:t xml:space="preserve">. </w:t>
            </w:r>
          </w:p>
        </w:tc>
      </w:tr>
    </w:tbl>
    <w:p w:rsidR="00294F5A" w:rsidRPr="00294F5A" w:rsidRDefault="00294F5A" w:rsidP="00554288">
      <w:pPr>
        <w:ind w:left="1133"/>
        <w:jc w:val="both"/>
        <w:rPr>
          <w:b/>
          <w:color w:val="000066"/>
          <w:sz w:val="24"/>
        </w:rPr>
      </w:pPr>
    </w:p>
    <w:p w:rsidR="00294F5A" w:rsidRDefault="00294F5A" w:rsidP="00554288">
      <w:pPr>
        <w:ind w:left="1133"/>
        <w:jc w:val="both"/>
        <w:rPr>
          <w:b/>
          <w:color w:val="000066"/>
          <w:sz w:val="24"/>
          <w:lang w:val="en-US"/>
        </w:rPr>
      </w:pPr>
    </w:p>
    <w:p w:rsidR="00294F5A" w:rsidRDefault="00294F5A" w:rsidP="00554288">
      <w:pPr>
        <w:ind w:left="1133"/>
        <w:jc w:val="both"/>
        <w:rPr>
          <w:b/>
          <w:color w:val="000066"/>
          <w:sz w:val="24"/>
          <w:lang w:val="en-US"/>
        </w:rPr>
      </w:pPr>
    </w:p>
    <w:p w:rsidR="00294F5A" w:rsidRDefault="00294F5A" w:rsidP="00554288">
      <w:pPr>
        <w:ind w:left="1133"/>
        <w:jc w:val="both"/>
        <w:rPr>
          <w:b/>
          <w:color w:val="000066"/>
          <w:sz w:val="24"/>
          <w:lang w:val="en-US"/>
        </w:rPr>
      </w:pPr>
    </w:p>
    <w:p w:rsidR="00294F5A" w:rsidRDefault="00294F5A" w:rsidP="00554288">
      <w:pPr>
        <w:ind w:left="1133"/>
        <w:jc w:val="both"/>
        <w:rPr>
          <w:b/>
          <w:color w:val="000066"/>
          <w:sz w:val="24"/>
          <w:lang w:val="en-US"/>
        </w:rPr>
      </w:pPr>
    </w:p>
    <w:p w:rsidR="00294F5A" w:rsidRDefault="00294F5A" w:rsidP="00554288">
      <w:pPr>
        <w:ind w:left="1133"/>
        <w:jc w:val="both"/>
        <w:rPr>
          <w:b/>
          <w:color w:val="000066"/>
          <w:sz w:val="24"/>
          <w:lang w:val="en-US"/>
        </w:rPr>
      </w:pPr>
    </w:p>
    <w:p w:rsidR="00294F5A" w:rsidRDefault="00294F5A" w:rsidP="00554288">
      <w:pPr>
        <w:ind w:left="1133"/>
        <w:jc w:val="both"/>
        <w:rPr>
          <w:b/>
          <w:color w:val="000066"/>
          <w:sz w:val="24"/>
          <w:lang w:val="en-US"/>
        </w:rPr>
      </w:pPr>
    </w:p>
    <w:p w:rsidR="00294F5A" w:rsidRDefault="00294F5A" w:rsidP="00554288">
      <w:pPr>
        <w:ind w:left="1133"/>
        <w:jc w:val="both"/>
        <w:rPr>
          <w:b/>
          <w:color w:val="000066"/>
          <w:sz w:val="24"/>
          <w:lang w:val="en-US"/>
        </w:rPr>
      </w:pPr>
    </w:p>
    <w:p w:rsidR="00294F5A" w:rsidRDefault="00294F5A" w:rsidP="00554288">
      <w:pPr>
        <w:ind w:left="1133"/>
        <w:jc w:val="both"/>
        <w:rPr>
          <w:b/>
          <w:color w:val="000066"/>
          <w:sz w:val="24"/>
          <w:lang w:val="en-US"/>
        </w:rPr>
      </w:pPr>
    </w:p>
    <w:p w:rsidR="00294F5A" w:rsidRPr="00294F5A" w:rsidRDefault="00294F5A" w:rsidP="00554288">
      <w:pPr>
        <w:ind w:left="1133"/>
        <w:jc w:val="both"/>
        <w:rPr>
          <w:b/>
          <w:color w:val="000066"/>
          <w:sz w:val="24"/>
          <w:lang w:val="en-US"/>
        </w:rPr>
      </w:pPr>
    </w:p>
    <w:p w:rsidR="004239A7" w:rsidRDefault="008B715B">
      <w:pPr>
        <w:pStyle w:val="BodyText"/>
        <w:spacing w:before="73"/>
        <w:ind w:left="2693" w:right="987"/>
        <w:jc w:val="both"/>
      </w:pP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111164</wp:posOffset>
            </wp:positionV>
            <wp:extent cx="843915" cy="843915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66"/>
        </w:rPr>
        <w:t xml:space="preserve">International non-governmental organization </w:t>
      </w:r>
      <w:proofErr w:type="spellStart"/>
      <w:r>
        <w:rPr>
          <w:b/>
          <w:color w:val="000066"/>
        </w:rPr>
        <w:t>Hilfswerk</w:t>
      </w:r>
      <w:proofErr w:type="spellEnd"/>
      <w:r>
        <w:rPr>
          <w:b/>
          <w:color w:val="000066"/>
        </w:rPr>
        <w:t xml:space="preserve"> International </w:t>
      </w:r>
      <w:proofErr w:type="gramStart"/>
      <w:r>
        <w:rPr>
          <w:color w:val="000066"/>
        </w:rPr>
        <w:t>implements  in</w:t>
      </w:r>
      <w:proofErr w:type="gramEnd"/>
      <w:r>
        <w:rPr>
          <w:color w:val="000066"/>
        </w:rPr>
        <w:t xml:space="preserve"> equal partnership with regional organizations in the Central Asia its fourth project as part of the “Central Asia – Invest” program of the European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Union.</w:t>
      </w:r>
    </w:p>
    <w:p w:rsidR="004239A7" w:rsidRDefault="004239A7">
      <w:pPr>
        <w:pStyle w:val="BodyText"/>
        <w:spacing w:before="3"/>
        <w:rPr>
          <w:sz w:val="16"/>
        </w:rPr>
      </w:pPr>
    </w:p>
    <w:p w:rsidR="004239A7" w:rsidRDefault="008B715B">
      <w:pPr>
        <w:pStyle w:val="BodyText"/>
        <w:spacing w:before="90"/>
        <w:ind w:left="2693" w:right="1178"/>
      </w:pPr>
      <w:r>
        <w:rPr>
          <w:color w:val="000066"/>
        </w:rPr>
        <w:t>This series of projects, which have been implemented for the last eight years by a joint team of nine regional and international organizations, aims at Central Asia’s</w:t>
      </w:r>
    </w:p>
    <w:p w:rsidR="004239A7" w:rsidRDefault="008B715B">
      <w:pPr>
        <w:pStyle w:val="BodyText"/>
        <w:ind w:left="1133" w:right="986"/>
        <w:jc w:val="both"/>
      </w:pPr>
      <w:proofErr w:type="gramStart"/>
      <w:r>
        <w:rPr>
          <w:color w:val="000066"/>
        </w:rPr>
        <w:t>integration</w:t>
      </w:r>
      <w:proofErr w:type="gramEnd"/>
      <w:r>
        <w:rPr>
          <w:color w:val="000066"/>
        </w:rPr>
        <w:t xml:space="preserve"> into the global economy by developing the fruit and vegetable processing sector, as well as increasing the competitiveness and export capacity of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SMEs.</w:t>
      </w:r>
    </w:p>
    <w:p w:rsidR="004239A7" w:rsidRDefault="004239A7">
      <w:pPr>
        <w:pStyle w:val="BodyText"/>
        <w:rPr>
          <w:sz w:val="20"/>
        </w:rPr>
      </w:pPr>
    </w:p>
    <w:p w:rsidR="004239A7" w:rsidRDefault="004239A7">
      <w:pPr>
        <w:pStyle w:val="BodyText"/>
        <w:spacing w:before="7"/>
        <w:rPr>
          <w:sz w:val="17"/>
        </w:rPr>
      </w:pPr>
    </w:p>
    <w:p w:rsidR="004239A7" w:rsidRDefault="004239A7">
      <w:pPr>
        <w:pStyle w:val="BodyText"/>
        <w:rPr>
          <w:sz w:val="26"/>
        </w:rPr>
      </w:pPr>
    </w:p>
    <w:sectPr w:rsidR="004239A7" w:rsidSect="00EF1305">
      <w:pgSz w:w="11910" w:h="16840"/>
      <w:pgMar w:top="0" w:right="995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239A7"/>
    <w:rsid w:val="00216CEF"/>
    <w:rsid w:val="00294F5A"/>
    <w:rsid w:val="003313B1"/>
    <w:rsid w:val="00396377"/>
    <w:rsid w:val="004239A7"/>
    <w:rsid w:val="00486EF4"/>
    <w:rsid w:val="00554288"/>
    <w:rsid w:val="0056405C"/>
    <w:rsid w:val="008A293B"/>
    <w:rsid w:val="008B715B"/>
    <w:rsid w:val="00911CC2"/>
    <w:rsid w:val="00956DB3"/>
    <w:rsid w:val="009572EC"/>
    <w:rsid w:val="009E16D4"/>
    <w:rsid w:val="009E17C9"/>
    <w:rsid w:val="00A40E63"/>
    <w:rsid w:val="00C30F80"/>
    <w:rsid w:val="00D92063"/>
    <w:rsid w:val="00E47AC6"/>
    <w:rsid w:val="00E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38"/>
    </w:pPr>
  </w:style>
  <w:style w:type="character" w:styleId="Hyperlink">
    <w:name w:val="Hyperlink"/>
    <w:basedOn w:val="DefaultParagraphFont"/>
    <w:uiPriority w:val="99"/>
    <w:unhideWhenUsed/>
    <w:rsid w:val="008B71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C6"/>
    <w:rPr>
      <w:rFonts w:ascii="Tahoma" w:eastAsia="Times New Roman" w:hAnsi="Tahoma" w:cs="Tahoma"/>
      <w:sz w:val="16"/>
      <w:szCs w:val="16"/>
      <w:lang w:val="en-GB" w:eastAsia="en-GB" w:bidi="en-GB"/>
    </w:rPr>
  </w:style>
  <w:style w:type="character" w:customStyle="1" w:styleId="2">
    <w:name w:val="Основной текст (2)"/>
    <w:rsid w:val="00294F5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38"/>
    </w:pPr>
  </w:style>
  <w:style w:type="character" w:styleId="Hyperlink">
    <w:name w:val="Hyperlink"/>
    <w:basedOn w:val="DefaultParagraphFont"/>
    <w:uiPriority w:val="99"/>
    <w:unhideWhenUsed/>
    <w:rsid w:val="008B71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C6"/>
    <w:rPr>
      <w:rFonts w:ascii="Tahoma" w:eastAsia="Times New Roman" w:hAnsi="Tahoma" w:cs="Tahoma"/>
      <w:sz w:val="16"/>
      <w:szCs w:val="16"/>
      <w:lang w:val="en-GB" w:eastAsia="en-GB" w:bidi="en-GB"/>
    </w:rPr>
  </w:style>
  <w:style w:type="character" w:customStyle="1" w:styleId="2">
    <w:name w:val="Основной текст (2)"/>
    <w:rsid w:val="00294F5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eas.europa.eu/DELEGATIONS/TAJIKISTAN/INDEX_EN.HTM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Delegation-Tajikistan-Pic@eeas.europa.eu" TargetMode="External"/><Relationship Id="rId17" Type="http://schemas.openxmlformats.org/officeDocument/2006/relationships/hyperlink" Target="https://www.facebook.com/EUinTajikistan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namsb.tj" TargetMode="External"/><Relationship Id="rId11" Type="http://schemas.openxmlformats.org/officeDocument/2006/relationships/hyperlink" Target="http://www.hilfswerk.tj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tter.com/EUinTajikistan" TargetMode="External"/><Relationship Id="rId10" Type="http://schemas.openxmlformats.org/officeDocument/2006/relationships/hyperlink" Target="mailto:aslanov@hilfswerk.t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amsb.tj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3137</Characters>
  <Application>Microsoft Office Word</Application>
  <DocSecurity>0</DocSecurity>
  <Lines>136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Mahbuba ABDULLAEVA</dc:creator>
  <cp:lastModifiedBy>ABDULLAEVA Mahbuba (EEAS-DUSHANBE)</cp:lastModifiedBy>
  <cp:revision>11</cp:revision>
  <dcterms:created xsi:type="dcterms:W3CDTF">2018-11-30T10:34:00Z</dcterms:created>
  <dcterms:modified xsi:type="dcterms:W3CDTF">2018-11-30T10:59:00Z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2018-11-17T00:00:00Z</vt:filetime>
  </property>
</Properties>
</file>